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87" w:rsidRDefault="002C4587" w:rsidP="002C4587">
      <w:pPr>
        <w:spacing w:before="100" w:beforeAutospacing="1" w:after="100" w:afterAutospacing="1" w:line="240" w:lineRule="auto"/>
        <w:jc w:val="center"/>
        <w:outlineLvl w:val="1"/>
        <w:rPr>
          <w:rFonts w:eastAsia="Times New Roman" w:cstheme="minorHAnsi"/>
          <w:b/>
          <w:bCs/>
          <w:color w:val="0070C0"/>
          <w:sz w:val="28"/>
          <w:szCs w:val="28"/>
          <w:u w:val="single"/>
          <w:lang w:eastAsia="pl-PL"/>
        </w:rPr>
      </w:pPr>
    </w:p>
    <w:p w:rsidR="002C4587" w:rsidRPr="002C4587" w:rsidRDefault="002C4587" w:rsidP="002C4587">
      <w:pPr>
        <w:spacing w:before="100" w:beforeAutospacing="1" w:after="100" w:afterAutospacing="1" w:line="240" w:lineRule="auto"/>
        <w:jc w:val="center"/>
        <w:outlineLvl w:val="1"/>
        <w:rPr>
          <w:rFonts w:eastAsia="Times New Roman" w:cstheme="minorHAnsi"/>
          <w:b/>
          <w:bCs/>
          <w:color w:val="0070C0"/>
          <w:sz w:val="28"/>
          <w:szCs w:val="28"/>
          <w:u w:val="single"/>
          <w:lang w:eastAsia="pl-PL"/>
        </w:rPr>
      </w:pPr>
      <w:r w:rsidRPr="002C4587">
        <w:rPr>
          <w:rFonts w:eastAsia="Times New Roman" w:cstheme="minorHAnsi"/>
          <w:b/>
          <w:bCs/>
          <w:color w:val="0070C0"/>
          <w:sz w:val="28"/>
          <w:szCs w:val="28"/>
          <w:u w:val="single"/>
          <w:lang w:eastAsia="pl-PL"/>
        </w:rPr>
        <w:t xml:space="preserve">PRZYGOTOWANIE DO </w:t>
      </w:r>
      <w:r>
        <w:rPr>
          <w:rFonts w:eastAsia="Times New Roman" w:cstheme="minorHAnsi"/>
          <w:b/>
          <w:bCs/>
          <w:color w:val="0070C0"/>
          <w:sz w:val="28"/>
          <w:szCs w:val="28"/>
          <w:u w:val="single"/>
          <w:lang w:eastAsia="pl-PL"/>
        </w:rPr>
        <w:t>BADANIA</w:t>
      </w:r>
    </w:p>
    <w:p w:rsidR="002C4587" w:rsidRPr="002C4587" w:rsidRDefault="002C4587" w:rsidP="002C4587">
      <w:pPr>
        <w:pStyle w:val="Akapitzlist"/>
        <w:numPr>
          <w:ilvl w:val="0"/>
          <w:numId w:val="1"/>
        </w:num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Badanie wykonywane jest rano, a pacjent powinien być na czczo – należy powstrzymać się od spożywania posiłków do 12 godzin wcześniej, a kolacja w dniu poprzedzającym powinna być lekkostrawna.</w:t>
      </w:r>
    </w:p>
    <w:p w:rsidR="002C4587" w:rsidRPr="002C4587" w:rsidRDefault="002C4587" w:rsidP="002C4587">
      <w:pPr>
        <w:spacing w:after="0" w:line="240" w:lineRule="auto"/>
        <w:jc w:val="both"/>
        <w:rPr>
          <w:rFonts w:eastAsia="Times New Roman" w:cstheme="minorHAnsi"/>
          <w:sz w:val="28"/>
          <w:szCs w:val="28"/>
          <w:lang w:eastAsia="pl-PL"/>
        </w:rPr>
      </w:pPr>
    </w:p>
    <w:p w:rsidR="002C4587" w:rsidRPr="002C4587" w:rsidRDefault="002C4587" w:rsidP="002C4587">
      <w:pPr>
        <w:pStyle w:val="Akapitzlist"/>
        <w:numPr>
          <w:ilvl w:val="0"/>
          <w:numId w:val="1"/>
        </w:num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 xml:space="preserve">Przed </w:t>
      </w:r>
      <w:hyperlink r:id="rId6" w:history="1">
        <w:r w:rsidRPr="002C4587">
          <w:rPr>
            <w:rFonts w:eastAsia="Times New Roman" w:cstheme="minorHAnsi"/>
            <w:sz w:val="28"/>
            <w:szCs w:val="28"/>
            <w:lang w:eastAsia="pl-PL"/>
          </w:rPr>
          <w:t>pobraniem krwi</w:t>
        </w:r>
      </w:hyperlink>
      <w:r w:rsidRPr="002C4587">
        <w:rPr>
          <w:rFonts w:eastAsia="Times New Roman" w:cstheme="minorHAnsi"/>
          <w:sz w:val="28"/>
          <w:szCs w:val="28"/>
          <w:lang w:eastAsia="pl-PL"/>
        </w:rPr>
        <w:t xml:space="preserve"> dopuszczalne jest wypicie niewielkiej ilości wody. Jeśli przyjmujesz leki, należy skonsultować z lekarzem, czy można je zażyć wcześniej. Zaleca się, aby 2-3 dni wcześniej wstrzymać się od spożywania alkoholu, a także (co najmniej 12 godzin wcześniej) dobrze jest też powstrzymać się od picia napojów kofeinowych i herbaty.</w:t>
      </w:r>
    </w:p>
    <w:p w:rsidR="002C4587" w:rsidRPr="002C4587" w:rsidRDefault="002C4587" w:rsidP="002C4587">
      <w:pPr>
        <w:spacing w:after="0" w:line="240" w:lineRule="auto"/>
        <w:jc w:val="both"/>
        <w:rPr>
          <w:rFonts w:eastAsia="Times New Roman" w:cstheme="minorHAnsi"/>
          <w:sz w:val="28"/>
          <w:szCs w:val="28"/>
          <w:lang w:eastAsia="pl-PL"/>
        </w:rPr>
      </w:pPr>
    </w:p>
    <w:p w:rsidR="002C4587" w:rsidRDefault="002C4587" w:rsidP="002C4587">
      <w:pPr>
        <w:pStyle w:val="Akapitzlist"/>
        <w:numPr>
          <w:ilvl w:val="0"/>
          <w:numId w:val="1"/>
        </w:num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W miarę możliwości badanie krwi należy przeprowadzić przed przyjęciem porannej porcji leków, chyba że lekarz zaleci inaczej. Ponadto, wcześniej należy powstrzymać się od intensywnego wysiłku fizycznego, jakim jest np. bardzo obciążający trening. Wówczas warto odczekać jeden dzień i dopiero udać się do punktu pobrań.</w:t>
      </w:r>
    </w:p>
    <w:p w:rsidR="002C4587" w:rsidRPr="002C4587" w:rsidRDefault="002C4587" w:rsidP="002C4587">
      <w:pPr>
        <w:pStyle w:val="Akapitzlist"/>
        <w:rPr>
          <w:rFonts w:eastAsia="Times New Roman" w:cstheme="minorHAnsi"/>
          <w:sz w:val="28"/>
          <w:szCs w:val="28"/>
          <w:lang w:eastAsia="pl-PL"/>
        </w:rPr>
      </w:pPr>
    </w:p>
    <w:p w:rsidR="002C4587" w:rsidRPr="002C4587" w:rsidRDefault="002C4587" w:rsidP="002C4587">
      <w:pPr>
        <w:pStyle w:val="Akapitzlist"/>
        <w:spacing w:after="0" w:line="240" w:lineRule="auto"/>
        <w:jc w:val="both"/>
        <w:rPr>
          <w:rFonts w:eastAsia="Times New Roman" w:cstheme="minorHAnsi"/>
          <w:sz w:val="28"/>
          <w:szCs w:val="28"/>
          <w:lang w:eastAsia="pl-PL"/>
        </w:rPr>
      </w:pPr>
    </w:p>
    <w:p w:rsidR="002C4587" w:rsidRDefault="002C4587" w:rsidP="002C4587">
      <w:pPr>
        <w:pStyle w:val="Akapitzlist"/>
        <w:numPr>
          <w:ilvl w:val="0"/>
          <w:numId w:val="1"/>
        </w:num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 xml:space="preserve">Tuż przed pobraniem krwi </w:t>
      </w:r>
      <w:r w:rsidR="00753496">
        <w:rPr>
          <w:rFonts w:eastAsia="Times New Roman" w:cstheme="minorHAnsi"/>
          <w:sz w:val="28"/>
          <w:szCs w:val="28"/>
          <w:lang w:eastAsia="pl-PL"/>
        </w:rPr>
        <w:t>pacjent powinien</w:t>
      </w:r>
      <w:r w:rsidRPr="002C4587">
        <w:rPr>
          <w:rFonts w:eastAsia="Times New Roman" w:cstheme="minorHAnsi"/>
          <w:sz w:val="28"/>
          <w:szCs w:val="28"/>
          <w:lang w:eastAsia="pl-PL"/>
        </w:rPr>
        <w:t xml:space="preserve"> odpocząć przez ok. 15 minut, najlepiej w pozycji siedzącej (pozycja stojąca może wpływać na zagęszczenie krwi). </w:t>
      </w:r>
    </w:p>
    <w:p w:rsidR="002C4587" w:rsidRPr="002C4587" w:rsidRDefault="002C4587" w:rsidP="002C4587">
      <w:pPr>
        <w:pStyle w:val="Akapitzlist"/>
        <w:spacing w:after="0" w:line="240" w:lineRule="auto"/>
        <w:jc w:val="both"/>
        <w:rPr>
          <w:rFonts w:eastAsia="Times New Roman" w:cstheme="minorHAnsi"/>
          <w:sz w:val="28"/>
          <w:szCs w:val="28"/>
          <w:lang w:eastAsia="pl-PL"/>
        </w:rPr>
      </w:pPr>
    </w:p>
    <w:p w:rsidR="002C4587" w:rsidRPr="002C4587" w:rsidRDefault="002C4587" w:rsidP="002C4587">
      <w:pPr>
        <w:spacing w:before="100" w:beforeAutospacing="1" w:after="100" w:afterAutospacing="1" w:line="240" w:lineRule="auto"/>
        <w:jc w:val="center"/>
        <w:outlineLvl w:val="1"/>
        <w:rPr>
          <w:rFonts w:eastAsia="Times New Roman" w:cstheme="minorHAnsi"/>
          <w:b/>
          <w:bCs/>
          <w:color w:val="0070C0"/>
          <w:sz w:val="28"/>
          <w:szCs w:val="28"/>
          <w:u w:val="single"/>
          <w:lang w:eastAsia="pl-PL"/>
        </w:rPr>
      </w:pPr>
      <w:r w:rsidRPr="002C4587">
        <w:rPr>
          <w:rFonts w:eastAsia="Times New Roman" w:cstheme="minorHAnsi"/>
          <w:b/>
          <w:bCs/>
          <w:color w:val="0070C0"/>
          <w:sz w:val="28"/>
          <w:szCs w:val="28"/>
          <w:u w:val="single"/>
          <w:lang w:eastAsia="pl-PL"/>
        </w:rPr>
        <w:t>WSKAZANIA DO WYKONANIA BADANIA MORFOLOGICZNEGO</w:t>
      </w:r>
    </w:p>
    <w:p w:rsidR="002C4587" w:rsidRDefault="002C4587" w:rsidP="002C4587">
      <w:pPr>
        <w:pStyle w:val="Akapitzlist"/>
        <w:numPr>
          <w:ilvl w:val="0"/>
          <w:numId w:val="2"/>
        </w:num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Decyzję podejmuje lekarz na podstawie wywiadu. Wskazań może być też wiele innych. Dzięki morfologii krwi lekarz prowadzący uzyskuje informacje na temat ogólnego stanu zdrowia.</w:t>
      </w:r>
    </w:p>
    <w:p w:rsidR="002C4587" w:rsidRPr="002C4587" w:rsidRDefault="002C4587" w:rsidP="002C4587">
      <w:pPr>
        <w:pStyle w:val="Akapitzlist"/>
        <w:spacing w:after="0" w:line="240" w:lineRule="auto"/>
        <w:jc w:val="both"/>
        <w:rPr>
          <w:rFonts w:eastAsia="Times New Roman" w:cstheme="minorHAnsi"/>
          <w:sz w:val="28"/>
          <w:szCs w:val="28"/>
          <w:lang w:eastAsia="pl-PL"/>
        </w:rPr>
      </w:pPr>
    </w:p>
    <w:p w:rsidR="002C4587" w:rsidRDefault="002C4587" w:rsidP="002C4587">
      <w:pPr>
        <w:pStyle w:val="Akapitzlist"/>
        <w:numPr>
          <w:ilvl w:val="0"/>
          <w:numId w:val="2"/>
        </w:num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 xml:space="preserve">Badanie odgrywa szczególną rolę w diagnostyce, gdy lekarz podejrzewa np. </w:t>
      </w:r>
      <w:hyperlink r:id="rId7" w:history="1">
        <w:r w:rsidRPr="002C4587">
          <w:rPr>
            <w:rFonts w:eastAsia="Times New Roman" w:cstheme="minorHAnsi"/>
            <w:sz w:val="28"/>
            <w:szCs w:val="28"/>
            <w:lang w:eastAsia="pl-PL"/>
          </w:rPr>
          <w:t>anemię</w:t>
        </w:r>
      </w:hyperlink>
      <w:r w:rsidRPr="002C4587">
        <w:rPr>
          <w:rFonts w:eastAsia="Times New Roman" w:cstheme="minorHAnsi"/>
          <w:sz w:val="28"/>
          <w:szCs w:val="28"/>
          <w:lang w:eastAsia="pl-PL"/>
        </w:rPr>
        <w:t>, niedobór odporności, występowanie stanów zapalnych i infekcji. Może być wykorzystywane do wykrycia przypadków wymagających dalszych badań. Służy także do oceny stanu po wystąpieniu krwotoku oraz dostarcza informacji o funkcjonowaniu szpiku.</w:t>
      </w:r>
    </w:p>
    <w:p w:rsidR="002C4587" w:rsidRPr="002C4587" w:rsidRDefault="002C4587" w:rsidP="002C4587">
      <w:pPr>
        <w:pStyle w:val="Akapitzlist"/>
        <w:rPr>
          <w:rFonts w:eastAsia="Times New Roman" w:cstheme="minorHAnsi"/>
          <w:sz w:val="28"/>
          <w:szCs w:val="28"/>
          <w:lang w:eastAsia="pl-PL"/>
        </w:rPr>
      </w:pPr>
    </w:p>
    <w:p w:rsidR="002C4587" w:rsidRDefault="002C4587" w:rsidP="002C4587">
      <w:pPr>
        <w:pStyle w:val="Akapitzlist"/>
        <w:spacing w:after="0" w:line="240" w:lineRule="auto"/>
        <w:jc w:val="both"/>
        <w:rPr>
          <w:rFonts w:eastAsia="Times New Roman" w:cstheme="minorHAnsi"/>
          <w:sz w:val="28"/>
          <w:szCs w:val="28"/>
          <w:lang w:eastAsia="pl-PL"/>
        </w:rPr>
      </w:pPr>
    </w:p>
    <w:p w:rsidR="002C4587" w:rsidRDefault="002C4587" w:rsidP="002C4587">
      <w:pPr>
        <w:pStyle w:val="Akapitzlist"/>
        <w:spacing w:after="0" w:line="240" w:lineRule="auto"/>
        <w:jc w:val="both"/>
        <w:rPr>
          <w:rFonts w:eastAsia="Times New Roman" w:cstheme="minorHAnsi"/>
          <w:sz w:val="28"/>
          <w:szCs w:val="28"/>
          <w:lang w:eastAsia="pl-PL"/>
        </w:rPr>
      </w:pPr>
    </w:p>
    <w:p w:rsidR="002C4587" w:rsidRPr="002C4587" w:rsidRDefault="002C4587" w:rsidP="002C4587">
      <w:pPr>
        <w:pStyle w:val="Akapitzlist"/>
        <w:spacing w:after="0" w:line="240" w:lineRule="auto"/>
        <w:jc w:val="both"/>
        <w:rPr>
          <w:rFonts w:eastAsia="Times New Roman" w:cstheme="minorHAnsi"/>
          <w:sz w:val="28"/>
          <w:szCs w:val="28"/>
          <w:lang w:eastAsia="pl-PL"/>
        </w:rPr>
      </w:pPr>
    </w:p>
    <w:p w:rsidR="002C4587" w:rsidRPr="002C4587" w:rsidRDefault="002C4587" w:rsidP="002C4587">
      <w:pPr>
        <w:spacing w:before="100" w:beforeAutospacing="1" w:after="100" w:afterAutospacing="1" w:line="240" w:lineRule="auto"/>
        <w:jc w:val="center"/>
        <w:outlineLvl w:val="2"/>
        <w:rPr>
          <w:rFonts w:eastAsia="Times New Roman" w:cstheme="minorHAnsi"/>
          <w:b/>
          <w:bCs/>
          <w:color w:val="0070C0"/>
          <w:sz w:val="28"/>
          <w:szCs w:val="28"/>
          <w:u w:val="single"/>
          <w:lang w:eastAsia="pl-PL"/>
        </w:rPr>
      </w:pPr>
      <w:r w:rsidRPr="002C4587">
        <w:rPr>
          <w:rFonts w:eastAsia="Times New Roman" w:cstheme="minorHAnsi"/>
          <w:b/>
          <w:bCs/>
          <w:color w:val="0070C0"/>
          <w:sz w:val="28"/>
          <w:szCs w:val="28"/>
          <w:u w:val="single"/>
          <w:lang w:eastAsia="pl-PL"/>
        </w:rPr>
        <w:t>JAK CZĘSTO ROBIĆ MORFOLOGIĘ?</w:t>
      </w:r>
    </w:p>
    <w:p w:rsidR="002C4587" w:rsidRPr="002C4587" w:rsidRDefault="002C4587" w:rsidP="002C4587">
      <w:p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Częstotliwość zależy od stanu pacjenta, jego wieku czy historii chorobowej. U osób dorosłych zaleca się ją nie rzadziej niż co 1–3 lata.</w:t>
      </w:r>
    </w:p>
    <w:p w:rsidR="002C4587" w:rsidRPr="002C4587" w:rsidRDefault="002C4587" w:rsidP="002C4587">
      <w:p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Jednak gdy ma na celu monitorowanie toczącej się w organizmie choroby lub wykonywane jest u osób, które borykają się z niedokrwistością, wówczas o częstotliwości powinien decydować lekarz.</w:t>
      </w:r>
    </w:p>
    <w:p w:rsidR="002C4587" w:rsidRPr="002C4587" w:rsidRDefault="002C4587" w:rsidP="002C4587">
      <w:pPr>
        <w:spacing w:before="100" w:beforeAutospacing="1" w:after="100" w:afterAutospacing="1" w:line="240" w:lineRule="auto"/>
        <w:jc w:val="center"/>
        <w:outlineLvl w:val="2"/>
        <w:rPr>
          <w:rFonts w:eastAsia="Times New Roman" w:cstheme="minorHAnsi"/>
          <w:b/>
          <w:bCs/>
          <w:color w:val="0070C0"/>
          <w:sz w:val="28"/>
          <w:szCs w:val="28"/>
          <w:u w:val="single"/>
          <w:lang w:eastAsia="pl-PL"/>
        </w:rPr>
      </w:pPr>
      <w:r w:rsidRPr="002C4587">
        <w:rPr>
          <w:rFonts w:eastAsia="Times New Roman" w:cstheme="minorHAnsi"/>
          <w:b/>
          <w:bCs/>
          <w:color w:val="0070C0"/>
          <w:sz w:val="28"/>
          <w:szCs w:val="28"/>
          <w:u w:val="single"/>
          <w:lang w:eastAsia="pl-PL"/>
        </w:rPr>
        <w:t>JAK CZYTAĆ WYNIKI?</w:t>
      </w:r>
    </w:p>
    <w:p w:rsidR="002C4587" w:rsidRPr="002C4587" w:rsidRDefault="002C4587" w:rsidP="002C4587">
      <w:p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Interpretacja wyników odbywa się przede wszystkim w oparciu o wartości referencyjne wskazane przez dane laboratorium. Dlaczego? Ponieważ niektóre parametry mogą być oznaczane przy wykorzystaniu różnych metod.</w:t>
      </w:r>
    </w:p>
    <w:p w:rsidR="002C4587" w:rsidRPr="002C4587" w:rsidRDefault="002C4587" w:rsidP="002C4587">
      <w:p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Co ważne, analiza wykonywana przez lekarza nie polega wyłącznie na sprawdzeniu, czy każdy ze wskaźników zawarty jest we wskazanym przez laboratorium przedziale. Pod uwagę bierze się także wiek i płeć oraz choroby i przyjmowane leki.</w:t>
      </w:r>
    </w:p>
    <w:p w:rsidR="002C4587" w:rsidRDefault="002C4587" w:rsidP="002C4587">
      <w:p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Inne normy obowiązują dla dzieci, inne dla dorosłych, a jeszcze innego różnicowania dokonuje się w obrębie płci. Nie bez znaczenia pozostają także czynniki, które spowodowały, że badanie zostało zlecone i wykonane, ponieważ wyniki oceniane są przez pryzmat dolegliwości zgłaszanych przez pacjenta.</w:t>
      </w:r>
    </w:p>
    <w:p w:rsidR="002C4587" w:rsidRPr="002C4587" w:rsidRDefault="002C4587" w:rsidP="002C4587">
      <w:pPr>
        <w:spacing w:after="0" w:line="240" w:lineRule="auto"/>
        <w:jc w:val="both"/>
        <w:rPr>
          <w:rFonts w:eastAsia="Times New Roman" w:cstheme="minorHAnsi"/>
          <w:sz w:val="28"/>
          <w:szCs w:val="28"/>
          <w:lang w:eastAsia="pl-PL"/>
        </w:rPr>
      </w:pPr>
    </w:p>
    <w:p w:rsidR="002C4587" w:rsidRPr="002C4587" w:rsidRDefault="002C4587" w:rsidP="002C4587">
      <w:pPr>
        <w:spacing w:before="100" w:beforeAutospacing="1" w:after="100" w:afterAutospacing="1" w:line="240" w:lineRule="auto"/>
        <w:jc w:val="center"/>
        <w:outlineLvl w:val="1"/>
        <w:rPr>
          <w:rFonts w:eastAsia="Times New Roman" w:cstheme="minorHAnsi"/>
          <w:b/>
          <w:bCs/>
          <w:color w:val="0070C0"/>
          <w:sz w:val="28"/>
          <w:szCs w:val="28"/>
          <w:u w:val="single"/>
          <w:lang w:eastAsia="pl-PL"/>
        </w:rPr>
      </w:pPr>
      <w:r w:rsidRPr="002C4587">
        <w:rPr>
          <w:rFonts w:eastAsia="Times New Roman" w:cstheme="minorHAnsi"/>
          <w:b/>
          <w:bCs/>
          <w:color w:val="0070C0"/>
          <w:sz w:val="28"/>
          <w:szCs w:val="28"/>
          <w:u w:val="single"/>
          <w:lang w:eastAsia="pl-PL"/>
        </w:rPr>
        <w:t>CO WYKAZUJE WYNIK MORFOLOGII?</w:t>
      </w:r>
    </w:p>
    <w:p w:rsidR="002C4587" w:rsidRPr="002C4587" w:rsidRDefault="002C4587" w:rsidP="002C4587">
      <w:p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Nieprawidłowe wartości każdego z parametrów mogą świadczyć o różnych problemach zdrowotnych, jednak interpretacja ogólna wyniku wymaga uwzględnienia także ujęcia całościowego, gdyż poszczególne parametry określają funkcjonowanie poszczególnych układów.</w:t>
      </w:r>
    </w:p>
    <w:p w:rsidR="002C4587" w:rsidRPr="002C4587" w:rsidRDefault="002C4587" w:rsidP="002C4587">
      <w:p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Zwiększenie całkowitej liczby leukocytów (leukocytoza) najczęściej świadczy o toczących się w organizmie stanach zapalnych, ale może także być konsekwencją przebytych urazów. Natomiast zbyt niska liczba krwinek białych (leukopenia) jest zazwyczaj związana z przyjmowaniem niektórych leków, przebytymi zakażeniami wirusowymi.</w:t>
      </w:r>
    </w:p>
    <w:p w:rsidR="002C4587" w:rsidRPr="002C4587" w:rsidRDefault="002C4587" w:rsidP="002C4587">
      <w:p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Bardziej złożonej analizy wymagają wyniki związane z krwinkami czerwonymi. Ogólnie ich zbyt wysoka liczba może świadczyć o niedotlenieniu lub odwodnieniu. Natomiast zmniejszona liczba leukocytów najczęściej jest związana z niedokrwistością (anemią) niedoborową lub związaną z przewlekłymi chorobami. Może być także efektem przebytego krwotoku.</w:t>
      </w:r>
    </w:p>
    <w:p w:rsidR="002C4587" w:rsidRPr="002C4587" w:rsidRDefault="002C4587" w:rsidP="002C4587">
      <w:p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lastRenderedPageBreak/>
        <w:t xml:space="preserve">Przyczyną zwiększonej liczby płytek (czyli </w:t>
      </w:r>
      <w:proofErr w:type="spellStart"/>
      <w:r w:rsidR="00753496">
        <w:rPr>
          <w:rFonts w:eastAsia="Times New Roman" w:cstheme="minorHAnsi"/>
          <w:sz w:val="28"/>
          <w:szCs w:val="28"/>
          <w:lang w:eastAsia="pl-PL"/>
        </w:rPr>
        <w:t>nadpłytkowość</w:t>
      </w:r>
      <w:proofErr w:type="spellEnd"/>
      <w:r w:rsidR="00753496">
        <w:rPr>
          <w:rFonts w:eastAsia="Times New Roman" w:cstheme="minorHAnsi"/>
          <w:sz w:val="28"/>
          <w:szCs w:val="28"/>
          <w:lang w:eastAsia="pl-PL"/>
        </w:rPr>
        <w:t xml:space="preserve"> )</w:t>
      </w:r>
      <w:r w:rsidRPr="002C4587">
        <w:rPr>
          <w:rFonts w:eastAsia="Times New Roman" w:cstheme="minorHAnsi"/>
          <w:sz w:val="28"/>
          <w:szCs w:val="28"/>
          <w:lang w:eastAsia="pl-PL"/>
        </w:rPr>
        <w:t xml:space="preserve"> mogą być m.in. niedokrwistość z niedoboru żelaza, przewlekłe choroby infekcyjne i zapalne, alkoholizm, stosowanie niektórych leków.</w:t>
      </w:r>
      <w:bookmarkStart w:id="0" w:name="_GoBack"/>
      <w:bookmarkEnd w:id="0"/>
    </w:p>
    <w:p w:rsidR="002C4587" w:rsidRPr="002C4587" w:rsidRDefault="002C4587" w:rsidP="002C4587">
      <w:pPr>
        <w:spacing w:after="0" w:line="240" w:lineRule="auto"/>
        <w:jc w:val="both"/>
        <w:rPr>
          <w:rFonts w:eastAsia="Times New Roman" w:cstheme="minorHAnsi"/>
          <w:sz w:val="28"/>
          <w:szCs w:val="28"/>
          <w:lang w:eastAsia="pl-PL"/>
        </w:rPr>
      </w:pPr>
      <w:r w:rsidRPr="002C4587">
        <w:rPr>
          <w:rFonts w:eastAsia="Times New Roman" w:cstheme="minorHAnsi"/>
          <w:sz w:val="28"/>
          <w:szCs w:val="28"/>
          <w:lang w:eastAsia="pl-PL"/>
        </w:rPr>
        <w:t>Samodzielna interpretacja wyników w wielu przypadkach może doprowadzić do niepotrzebnego stresu lub wręcz lęku o własne zdrowie, jeżeli jakaś wartość odbiega od przyjętej normy. Dlatego należy ją pozostawić lekarzom, gdyż poprawna analiza wyników jest bardzo złożona.</w:t>
      </w:r>
    </w:p>
    <w:p w:rsidR="00BE0AF8" w:rsidRPr="002C4587" w:rsidRDefault="00BE0AF8" w:rsidP="002C4587">
      <w:pPr>
        <w:jc w:val="both"/>
        <w:rPr>
          <w:rFonts w:cstheme="minorHAnsi"/>
          <w:sz w:val="28"/>
          <w:szCs w:val="28"/>
        </w:rPr>
      </w:pPr>
    </w:p>
    <w:sectPr w:rsidR="00BE0AF8" w:rsidRPr="002C4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ADC"/>
    <w:multiLevelType w:val="hybridMultilevel"/>
    <w:tmpl w:val="4AD05D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DDA4B10"/>
    <w:multiLevelType w:val="hybridMultilevel"/>
    <w:tmpl w:val="E7C625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CCA3953"/>
    <w:multiLevelType w:val="hybridMultilevel"/>
    <w:tmpl w:val="CF5ECD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87"/>
    <w:rsid w:val="002C4587"/>
    <w:rsid w:val="00544EE7"/>
    <w:rsid w:val="00753496"/>
    <w:rsid w:val="00BE0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4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4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389027">
      <w:bodyDiv w:val="1"/>
      <w:marLeft w:val="0"/>
      <w:marRight w:val="0"/>
      <w:marTop w:val="0"/>
      <w:marBottom w:val="0"/>
      <w:divBdr>
        <w:top w:val="none" w:sz="0" w:space="0" w:color="auto"/>
        <w:left w:val="none" w:sz="0" w:space="0" w:color="auto"/>
        <w:bottom w:val="none" w:sz="0" w:space="0" w:color="auto"/>
        <w:right w:val="none" w:sz="0" w:space="0" w:color="auto"/>
      </w:divBdr>
      <w:divsChild>
        <w:div w:id="1311978202">
          <w:marLeft w:val="0"/>
          <w:marRight w:val="0"/>
          <w:marTop w:val="0"/>
          <w:marBottom w:val="0"/>
          <w:divBdr>
            <w:top w:val="none" w:sz="0" w:space="0" w:color="auto"/>
            <w:left w:val="none" w:sz="0" w:space="0" w:color="auto"/>
            <w:bottom w:val="none" w:sz="0" w:space="0" w:color="auto"/>
            <w:right w:val="none" w:sz="0" w:space="0" w:color="auto"/>
          </w:divBdr>
          <w:divsChild>
            <w:div w:id="770198876">
              <w:marLeft w:val="0"/>
              <w:marRight w:val="0"/>
              <w:marTop w:val="0"/>
              <w:marBottom w:val="0"/>
              <w:divBdr>
                <w:top w:val="none" w:sz="0" w:space="0" w:color="auto"/>
                <w:left w:val="none" w:sz="0" w:space="0" w:color="auto"/>
                <w:bottom w:val="none" w:sz="0" w:space="0" w:color="auto"/>
                <w:right w:val="none" w:sz="0" w:space="0" w:color="auto"/>
              </w:divBdr>
            </w:div>
            <w:div w:id="1261572592">
              <w:marLeft w:val="0"/>
              <w:marRight w:val="0"/>
              <w:marTop w:val="0"/>
              <w:marBottom w:val="0"/>
              <w:divBdr>
                <w:top w:val="none" w:sz="0" w:space="0" w:color="auto"/>
                <w:left w:val="none" w:sz="0" w:space="0" w:color="auto"/>
                <w:bottom w:val="none" w:sz="0" w:space="0" w:color="auto"/>
                <w:right w:val="none" w:sz="0" w:space="0" w:color="auto"/>
              </w:divBdr>
              <w:divsChild>
                <w:div w:id="1153256288">
                  <w:marLeft w:val="0"/>
                  <w:marRight w:val="0"/>
                  <w:marTop w:val="0"/>
                  <w:marBottom w:val="0"/>
                  <w:divBdr>
                    <w:top w:val="none" w:sz="0" w:space="0" w:color="auto"/>
                    <w:left w:val="none" w:sz="0" w:space="0" w:color="auto"/>
                    <w:bottom w:val="none" w:sz="0" w:space="0" w:color="auto"/>
                    <w:right w:val="none" w:sz="0" w:space="0" w:color="auto"/>
                  </w:divBdr>
                </w:div>
              </w:divsChild>
            </w:div>
            <w:div w:id="790635045">
              <w:marLeft w:val="0"/>
              <w:marRight w:val="0"/>
              <w:marTop w:val="0"/>
              <w:marBottom w:val="0"/>
              <w:divBdr>
                <w:top w:val="none" w:sz="0" w:space="0" w:color="auto"/>
                <w:left w:val="none" w:sz="0" w:space="0" w:color="auto"/>
                <w:bottom w:val="none" w:sz="0" w:space="0" w:color="auto"/>
                <w:right w:val="none" w:sz="0" w:space="0" w:color="auto"/>
              </w:divBdr>
            </w:div>
            <w:div w:id="2089954713">
              <w:marLeft w:val="0"/>
              <w:marRight w:val="0"/>
              <w:marTop w:val="0"/>
              <w:marBottom w:val="0"/>
              <w:divBdr>
                <w:top w:val="none" w:sz="0" w:space="0" w:color="auto"/>
                <w:left w:val="none" w:sz="0" w:space="0" w:color="auto"/>
                <w:bottom w:val="none" w:sz="0" w:space="0" w:color="auto"/>
                <w:right w:val="none" w:sz="0" w:space="0" w:color="auto"/>
              </w:divBdr>
            </w:div>
            <w:div w:id="1605571905">
              <w:marLeft w:val="0"/>
              <w:marRight w:val="0"/>
              <w:marTop w:val="0"/>
              <w:marBottom w:val="0"/>
              <w:divBdr>
                <w:top w:val="none" w:sz="0" w:space="0" w:color="auto"/>
                <w:left w:val="none" w:sz="0" w:space="0" w:color="auto"/>
                <w:bottom w:val="none" w:sz="0" w:space="0" w:color="auto"/>
                <w:right w:val="none" w:sz="0" w:space="0" w:color="auto"/>
              </w:divBdr>
            </w:div>
            <w:div w:id="2107382064">
              <w:marLeft w:val="0"/>
              <w:marRight w:val="0"/>
              <w:marTop w:val="0"/>
              <w:marBottom w:val="0"/>
              <w:divBdr>
                <w:top w:val="none" w:sz="0" w:space="0" w:color="auto"/>
                <w:left w:val="none" w:sz="0" w:space="0" w:color="auto"/>
                <w:bottom w:val="none" w:sz="0" w:space="0" w:color="auto"/>
                <w:right w:val="none" w:sz="0" w:space="0" w:color="auto"/>
              </w:divBdr>
            </w:div>
          </w:divsChild>
        </w:div>
        <w:div w:id="2050909390">
          <w:marLeft w:val="0"/>
          <w:marRight w:val="0"/>
          <w:marTop w:val="0"/>
          <w:marBottom w:val="0"/>
          <w:divBdr>
            <w:top w:val="none" w:sz="0" w:space="0" w:color="auto"/>
            <w:left w:val="none" w:sz="0" w:space="0" w:color="auto"/>
            <w:bottom w:val="none" w:sz="0" w:space="0" w:color="auto"/>
            <w:right w:val="none" w:sz="0" w:space="0" w:color="auto"/>
          </w:divBdr>
        </w:div>
        <w:div w:id="1632243252">
          <w:marLeft w:val="0"/>
          <w:marRight w:val="0"/>
          <w:marTop w:val="0"/>
          <w:marBottom w:val="0"/>
          <w:divBdr>
            <w:top w:val="none" w:sz="0" w:space="0" w:color="auto"/>
            <w:left w:val="none" w:sz="0" w:space="0" w:color="auto"/>
            <w:bottom w:val="none" w:sz="0" w:space="0" w:color="auto"/>
            <w:right w:val="none" w:sz="0" w:space="0" w:color="auto"/>
          </w:divBdr>
        </w:div>
        <w:div w:id="1878084670">
          <w:marLeft w:val="0"/>
          <w:marRight w:val="0"/>
          <w:marTop w:val="0"/>
          <w:marBottom w:val="0"/>
          <w:divBdr>
            <w:top w:val="none" w:sz="0" w:space="0" w:color="auto"/>
            <w:left w:val="none" w:sz="0" w:space="0" w:color="auto"/>
            <w:bottom w:val="none" w:sz="0" w:space="0" w:color="auto"/>
            <w:right w:val="none" w:sz="0" w:space="0" w:color="auto"/>
          </w:divBdr>
        </w:div>
        <w:div w:id="163011072">
          <w:marLeft w:val="0"/>
          <w:marRight w:val="0"/>
          <w:marTop w:val="0"/>
          <w:marBottom w:val="0"/>
          <w:divBdr>
            <w:top w:val="none" w:sz="0" w:space="0" w:color="auto"/>
            <w:left w:val="none" w:sz="0" w:space="0" w:color="auto"/>
            <w:bottom w:val="none" w:sz="0" w:space="0" w:color="auto"/>
            <w:right w:val="none" w:sz="0" w:space="0" w:color="auto"/>
          </w:divBdr>
        </w:div>
        <w:div w:id="1313677173">
          <w:marLeft w:val="0"/>
          <w:marRight w:val="0"/>
          <w:marTop w:val="0"/>
          <w:marBottom w:val="0"/>
          <w:divBdr>
            <w:top w:val="none" w:sz="0" w:space="0" w:color="auto"/>
            <w:left w:val="none" w:sz="0" w:space="0" w:color="auto"/>
            <w:bottom w:val="none" w:sz="0" w:space="0" w:color="auto"/>
            <w:right w:val="none" w:sz="0" w:space="0" w:color="auto"/>
          </w:divBdr>
        </w:div>
        <w:div w:id="1337801185">
          <w:marLeft w:val="0"/>
          <w:marRight w:val="0"/>
          <w:marTop w:val="0"/>
          <w:marBottom w:val="0"/>
          <w:divBdr>
            <w:top w:val="none" w:sz="0" w:space="0" w:color="auto"/>
            <w:left w:val="none" w:sz="0" w:space="0" w:color="auto"/>
            <w:bottom w:val="none" w:sz="0" w:space="0" w:color="auto"/>
            <w:right w:val="none" w:sz="0" w:space="0" w:color="auto"/>
          </w:divBdr>
        </w:div>
        <w:div w:id="1968730523">
          <w:marLeft w:val="0"/>
          <w:marRight w:val="0"/>
          <w:marTop w:val="0"/>
          <w:marBottom w:val="0"/>
          <w:divBdr>
            <w:top w:val="none" w:sz="0" w:space="0" w:color="auto"/>
            <w:left w:val="none" w:sz="0" w:space="0" w:color="auto"/>
            <w:bottom w:val="none" w:sz="0" w:space="0" w:color="auto"/>
            <w:right w:val="none" w:sz="0" w:space="0" w:color="auto"/>
          </w:divBdr>
        </w:div>
        <w:div w:id="1857188772">
          <w:marLeft w:val="0"/>
          <w:marRight w:val="0"/>
          <w:marTop w:val="0"/>
          <w:marBottom w:val="0"/>
          <w:divBdr>
            <w:top w:val="none" w:sz="0" w:space="0" w:color="auto"/>
            <w:left w:val="none" w:sz="0" w:space="0" w:color="auto"/>
            <w:bottom w:val="none" w:sz="0" w:space="0" w:color="auto"/>
            <w:right w:val="none" w:sz="0" w:space="0" w:color="auto"/>
          </w:divBdr>
        </w:div>
        <w:div w:id="143745046">
          <w:marLeft w:val="0"/>
          <w:marRight w:val="0"/>
          <w:marTop w:val="0"/>
          <w:marBottom w:val="0"/>
          <w:divBdr>
            <w:top w:val="none" w:sz="0" w:space="0" w:color="auto"/>
            <w:left w:val="none" w:sz="0" w:space="0" w:color="auto"/>
            <w:bottom w:val="none" w:sz="0" w:space="0" w:color="auto"/>
            <w:right w:val="none" w:sz="0" w:space="0" w:color="auto"/>
          </w:divBdr>
        </w:div>
        <w:div w:id="1476296624">
          <w:marLeft w:val="0"/>
          <w:marRight w:val="0"/>
          <w:marTop w:val="0"/>
          <w:marBottom w:val="0"/>
          <w:divBdr>
            <w:top w:val="none" w:sz="0" w:space="0" w:color="auto"/>
            <w:left w:val="none" w:sz="0" w:space="0" w:color="auto"/>
            <w:bottom w:val="none" w:sz="0" w:space="0" w:color="auto"/>
            <w:right w:val="none" w:sz="0" w:space="0" w:color="auto"/>
          </w:divBdr>
        </w:div>
        <w:div w:id="543905683">
          <w:marLeft w:val="0"/>
          <w:marRight w:val="0"/>
          <w:marTop w:val="0"/>
          <w:marBottom w:val="0"/>
          <w:divBdr>
            <w:top w:val="none" w:sz="0" w:space="0" w:color="auto"/>
            <w:left w:val="none" w:sz="0" w:space="0" w:color="auto"/>
            <w:bottom w:val="none" w:sz="0" w:space="0" w:color="auto"/>
            <w:right w:val="none" w:sz="0" w:space="0" w:color="auto"/>
          </w:divBdr>
        </w:div>
        <w:div w:id="1053236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edicover.pl/o-zdrowiu/anemia-objawy-przyczyny-i-leczenie-anemii,69,n,1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over.pl/badania/pobieranie-krw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612</Words>
  <Characters>3673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Marzena</cp:lastModifiedBy>
  <cp:revision>4</cp:revision>
  <dcterms:created xsi:type="dcterms:W3CDTF">2023-10-13T10:53:00Z</dcterms:created>
  <dcterms:modified xsi:type="dcterms:W3CDTF">2023-10-13T11:20:00Z</dcterms:modified>
</cp:coreProperties>
</file>